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44" w:rsidRDefault="00CA7144" w:rsidP="00CA7144">
      <w:pPr>
        <w:pStyle w:val="ListParagraph"/>
        <w:ind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金</w:t>
      </w:r>
      <w:smartTag w:uri="urn:schemas-microsoft-com:office:smarttags" w:element="PersonName">
        <w:smartTagPr>
          <w:attr w:name="ProductID" w:val="融工程"/>
        </w:smartTagPr>
        <w:r>
          <w:rPr>
            <w:rFonts w:hint="eastAsia"/>
            <w:sz w:val="28"/>
            <w:szCs w:val="28"/>
          </w:rPr>
          <w:t>融工程</w:t>
        </w:r>
      </w:smartTag>
      <w:r>
        <w:rPr>
          <w:rFonts w:hint="eastAsia"/>
          <w:sz w:val="28"/>
          <w:szCs w:val="28"/>
        </w:rPr>
        <w:t>博士研究生专业课《金融工程》考试大纲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>Ⅰ、考试性质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>《金融工程》是辽宁大学金融工程专业博士研究生招生考试专业课，也是取得该专业博士研究生入学资格的必考课。其目的是测试考生对金融工程的基础知识、基本理论、基本方法的掌握程度，以及灵活运用该学科理论、方法分析和解决实际问题的能力。评价标准是考生能达到的及格或及格以上水平。以保证被录取者具有基本的金融工程专业基础。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>Ⅱ、考查目标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>《金融工程》考试涵盖金融工程基础知识、基本理论和基本方法，以及分析和解决实际问题的能力。</w:t>
      </w:r>
    </w:p>
    <w:p w:rsidR="00CA7144" w:rsidRDefault="00CA7144" w:rsidP="00EE5895">
      <w:pPr>
        <w:pStyle w:val="ListParagraph"/>
        <w:ind w:firstLine="31680"/>
      </w:pPr>
      <w:r>
        <w:t xml:space="preserve">1.  </w:t>
      </w:r>
      <w:r>
        <w:rPr>
          <w:rFonts w:hint="eastAsia"/>
        </w:rPr>
        <w:t>正确理解和掌握学科的基本理论及基本方法，准确、恰当地使用学科术语。</w:t>
      </w:r>
    </w:p>
    <w:p w:rsidR="00CA7144" w:rsidRDefault="00CA7144" w:rsidP="00EE5895">
      <w:pPr>
        <w:pStyle w:val="ListParagraph"/>
        <w:ind w:firstLine="31680"/>
      </w:pPr>
      <w:r>
        <w:t xml:space="preserve">2.  </w:t>
      </w:r>
      <w:r>
        <w:rPr>
          <w:rFonts w:hint="eastAsia"/>
        </w:rPr>
        <w:t>运用本学科相关理论，解释和明辩证券市场中的某种现象，辨明是非。</w:t>
      </w:r>
    </w:p>
    <w:p w:rsidR="00CA7144" w:rsidRDefault="00CA7144" w:rsidP="00EE5895">
      <w:pPr>
        <w:pStyle w:val="ListParagraph"/>
        <w:ind w:firstLine="31680"/>
      </w:pPr>
      <w:r>
        <w:t xml:space="preserve">3.  </w:t>
      </w:r>
      <w:r>
        <w:rPr>
          <w:rFonts w:hint="eastAsia"/>
        </w:rPr>
        <w:t>运用金融工程相关理论及方法，分析和解决本学科范畴内的现象或实际问题。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>Ⅲ、考试形式和试卷结构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 xml:space="preserve">　　一、试卷满分及考试时间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 xml:space="preserve">　　</w:t>
      </w:r>
      <w:r>
        <w:t xml:space="preserve">    </w:t>
      </w:r>
      <w:r>
        <w:rPr>
          <w:rFonts w:hint="eastAsia"/>
        </w:rPr>
        <w:t>本试卷满分为</w:t>
      </w:r>
      <w:r>
        <w:t>100</w:t>
      </w:r>
      <w:r>
        <w:rPr>
          <w:rFonts w:hint="eastAsia"/>
        </w:rPr>
        <w:t>分，考试时间为</w:t>
      </w:r>
      <w:r>
        <w:t>180</w:t>
      </w:r>
      <w:r>
        <w:rPr>
          <w:rFonts w:hint="eastAsia"/>
        </w:rPr>
        <w:t>分钟。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 xml:space="preserve">　　二、答题方式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 xml:space="preserve">　　</w:t>
      </w:r>
      <w:r>
        <w:t xml:space="preserve">    </w:t>
      </w:r>
      <w:r>
        <w:rPr>
          <w:rFonts w:hint="eastAsia"/>
        </w:rPr>
        <w:t>答题方式为闭卷、笔试。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 xml:space="preserve">　　三、试卷内容结构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 xml:space="preserve">　　</w:t>
      </w:r>
      <w:r>
        <w:t xml:space="preserve">   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）基本理论及方法</w:t>
      </w:r>
      <w:r>
        <w:t xml:space="preserve"> </w:t>
      </w:r>
      <w:r>
        <w:rPr>
          <w:rFonts w:hint="eastAsia"/>
        </w:rPr>
        <w:t xml:space="preserve">　　　　　　约</w:t>
      </w:r>
      <w:r>
        <w:t>50%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 xml:space="preserve">　　</w:t>
      </w:r>
      <w:r>
        <w:t xml:space="preserve">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）综合能力：分析问题和解决问题的能力</w:t>
      </w:r>
      <w:r>
        <w:t xml:space="preserve">      </w:t>
      </w:r>
      <w:r>
        <w:rPr>
          <w:rFonts w:hint="eastAsia"/>
        </w:rPr>
        <w:t>约</w:t>
      </w:r>
      <w:r>
        <w:t>50%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 xml:space="preserve">　　四、试卷题型结构</w:t>
      </w:r>
    </w:p>
    <w:p w:rsidR="00CA7144" w:rsidRDefault="00CA7144" w:rsidP="00EE5895">
      <w:pPr>
        <w:pStyle w:val="ListParagraph"/>
        <w:ind w:firstLine="31680"/>
      </w:pPr>
      <w:r>
        <w:t xml:space="preserve">        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）理论及方法阐述</w:t>
      </w:r>
      <w:r>
        <w:t xml:space="preserve">   </w:t>
      </w:r>
      <w:r>
        <w:rPr>
          <w:rFonts w:hint="eastAsia"/>
        </w:rPr>
        <w:t>（</w:t>
      </w:r>
      <w:r>
        <w:t>50</w:t>
      </w:r>
      <w:r>
        <w:rPr>
          <w:rFonts w:hint="eastAsia"/>
        </w:rPr>
        <w:t>分）；</w:t>
      </w:r>
    </w:p>
    <w:p w:rsidR="00CA7144" w:rsidRDefault="00CA7144" w:rsidP="00EE5895">
      <w:pPr>
        <w:pStyle w:val="ListParagraph"/>
        <w:ind w:firstLine="31680"/>
      </w:pPr>
      <w:r>
        <w:t xml:space="preserve">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）综合应用题</w:t>
      </w:r>
      <w:r>
        <w:t xml:space="preserve">   </w:t>
      </w:r>
      <w:r>
        <w:rPr>
          <w:rFonts w:hint="eastAsia"/>
        </w:rPr>
        <w:t>（</w:t>
      </w:r>
      <w:r>
        <w:t>50</w:t>
      </w:r>
      <w:r>
        <w:rPr>
          <w:rFonts w:hint="eastAsia"/>
        </w:rPr>
        <w:t>分）</w:t>
      </w:r>
    </w:p>
    <w:p w:rsidR="00CA7144" w:rsidRDefault="00CA7144" w:rsidP="00EE5895">
      <w:pPr>
        <w:pStyle w:val="ListParagraph"/>
        <w:ind w:firstLine="31680"/>
      </w:pPr>
      <w:r>
        <w:rPr>
          <w:rFonts w:hint="eastAsia"/>
        </w:rPr>
        <w:t xml:space="preserve">　　Ⅳ、考查内容</w:t>
      </w:r>
    </w:p>
    <w:p w:rsidR="00CA7144" w:rsidRDefault="00CA7144" w:rsidP="00EE5895">
      <w:pPr>
        <w:pStyle w:val="ListParagraph"/>
        <w:ind w:firstLine="31680"/>
      </w:pPr>
      <w:r>
        <w:t>1</w:t>
      </w:r>
      <w:r>
        <w:rPr>
          <w:rFonts w:hint="eastAsia"/>
        </w:rPr>
        <w:t>、无套利均衡分析方法及其应用；</w:t>
      </w:r>
    </w:p>
    <w:p w:rsidR="00CA7144" w:rsidRDefault="00CA7144" w:rsidP="00EE5895">
      <w:pPr>
        <w:pStyle w:val="ListParagraph"/>
        <w:ind w:firstLine="31680"/>
      </w:pPr>
      <w:r>
        <w:t>2</w:t>
      </w:r>
      <w:r>
        <w:rPr>
          <w:rFonts w:hint="eastAsia"/>
        </w:rPr>
        <w:t>、利率期限结构、远期利率及利率互换</w:t>
      </w:r>
    </w:p>
    <w:p w:rsidR="00CA7144" w:rsidRDefault="00CA7144" w:rsidP="00EE5895">
      <w:pPr>
        <w:pStyle w:val="ListParagraph"/>
        <w:ind w:firstLine="31680"/>
      </w:pPr>
      <w:r>
        <w:t>3</w:t>
      </w:r>
      <w:r>
        <w:rPr>
          <w:rFonts w:hint="eastAsia"/>
        </w:rPr>
        <w:t>、马科维茨投资组合理论</w:t>
      </w:r>
    </w:p>
    <w:p w:rsidR="00CA7144" w:rsidRDefault="00CA7144" w:rsidP="00EE5895">
      <w:pPr>
        <w:pStyle w:val="ListParagraph"/>
        <w:ind w:firstLine="31680"/>
      </w:pPr>
      <w:r>
        <w:t>4</w:t>
      </w:r>
      <w:r>
        <w:rPr>
          <w:rFonts w:hint="eastAsia"/>
        </w:rPr>
        <w:t>、资本资产定价模型、套利定价模型及应用</w:t>
      </w:r>
    </w:p>
    <w:p w:rsidR="00CA7144" w:rsidRDefault="00CA7144" w:rsidP="00EE5895">
      <w:pPr>
        <w:pStyle w:val="ListParagraph"/>
        <w:ind w:firstLine="31680"/>
      </w:pPr>
      <w:r>
        <w:t>5</w:t>
      </w:r>
      <w:r>
        <w:rPr>
          <w:rFonts w:hint="eastAsia"/>
        </w:rPr>
        <w:t>、金融风险管理理论及方法</w:t>
      </w:r>
    </w:p>
    <w:p w:rsidR="00CA7144" w:rsidRDefault="00CA7144" w:rsidP="00EE5895">
      <w:pPr>
        <w:pStyle w:val="ListParagraph"/>
        <w:ind w:firstLine="31680"/>
      </w:pPr>
      <w:r>
        <w:t>6</w:t>
      </w:r>
      <w:r>
        <w:rPr>
          <w:rFonts w:hint="eastAsia"/>
        </w:rPr>
        <w:t>、欧式期权、定价及其应用</w:t>
      </w:r>
    </w:p>
    <w:p w:rsidR="00CA7144" w:rsidRDefault="00CA7144" w:rsidP="00EE5895">
      <w:pPr>
        <w:pStyle w:val="ListParagraph"/>
        <w:ind w:firstLine="31680"/>
      </w:pPr>
      <w:r>
        <w:t>7</w:t>
      </w:r>
      <w:r>
        <w:rPr>
          <w:rFonts w:hint="eastAsia"/>
        </w:rPr>
        <w:t>、股指期货期现套利原理及应用</w:t>
      </w:r>
    </w:p>
    <w:p w:rsidR="00CA7144" w:rsidRPr="008F5254" w:rsidRDefault="00CA7144" w:rsidP="00EE5895">
      <w:pPr>
        <w:pStyle w:val="ListParagraph"/>
        <w:ind w:firstLine="31680"/>
      </w:pPr>
      <w:r>
        <w:t>8</w:t>
      </w:r>
      <w:r>
        <w:rPr>
          <w:rFonts w:hint="eastAsia"/>
        </w:rPr>
        <w:t>、中国证券市场热点问题分析</w:t>
      </w:r>
    </w:p>
    <w:p w:rsidR="00CA7144" w:rsidRPr="00530A47" w:rsidRDefault="00CA7144" w:rsidP="003A1923">
      <w:pPr>
        <w:pStyle w:val="ListParagraph"/>
        <w:ind w:firstLine="31680"/>
      </w:pPr>
      <w:r>
        <w:rPr>
          <w:rFonts w:hint="eastAsia"/>
        </w:rPr>
        <w:t xml:space="preserve">　　</w:t>
      </w:r>
    </w:p>
    <w:sectPr w:rsidR="00CA7144" w:rsidRPr="00530A47" w:rsidSect="00E34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144" w:rsidRDefault="00CA7144" w:rsidP="00DC273A">
      <w:pPr>
        <w:spacing w:before="0" w:after="0" w:line="240" w:lineRule="auto"/>
      </w:pPr>
      <w:r>
        <w:separator/>
      </w:r>
    </w:p>
  </w:endnote>
  <w:endnote w:type="continuationSeparator" w:id="0">
    <w:p w:rsidR="00CA7144" w:rsidRDefault="00CA7144" w:rsidP="00DC273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144" w:rsidRDefault="00CA7144" w:rsidP="00DC273A">
      <w:pPr>
        <w:spacing w:before="0" w:after="0" w:line="240" w:lineRule="auto"/>
      </w:pPr>
      <w:r>
        <w:separator/>
      </w:r>
    </w:p>
  </w:footnote>
  <w:footnote w:type="continuationSeparator" w:id="0">
    <w:p w:rsidR="00CA7144" w:rsidRDefault="00CA7144" w:rsidP="00DC273A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A47"/>
    <w:rsid w:val="000356A6"/>
    <w:rsid w:val="000E4CC1"/>
    <w:rsid w:val="00390B82"/>
    <w:rsid w:val="003A1923"/>
    <w:rsid w:val="0051256E"/>
    <w:rsid w:val="00530A47"/>
    <w:rsid w:val="006409B9"/>
    <w:rsid w:val="00715C67"/>
    <w:rsid w:val="007D0D43"/>
    <w:rsid w:val="00836D1B"/>
    <w:rsid w:val="008569A7"/>
    <w:rsid w:val="008F5254"/>
    <w:rsid w:val="00A51934"/>
    <w:rsid w:val="00AB1A68"/>
    <w:rsid w:val="00CA7144"/>
    <w:rsid w:val="00DC273A"/>
    <w:rsid w:val="00E34FEF"/>
    <w:rsid w:val="00EE5895"/>
    <w:rsid w:val="00F22267"/>
    <w:rsid w:val="00F92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FEF"/>
    <w:pPr>
      <w:widowControl w:val="0"/>
      <w:spacing w:before="100" w:beforeAutospacing="1" w:after="199" w:line="400" w:lineRule="exact"/>
      <w:ind w:firstLine="1871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0A47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DC2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273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C273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273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83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3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630">
                  <w:marLeft w:val="0"/>
                  <w:marRight w:val="0"/>
                  <w:marTop w:val="0"/>
                  <w:marBottom w:val="0"/>
                  <w:divBdr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none" w:sz="0" w:space="0" w:color="auto"/>
                  </w:divBdr>
                  <w:divsChild>
                    <w:div w:id="30783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83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83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637">
                  <w:marLeft w:val="0"/>
                  <w:marRight w:val="0"/>
                  <w:marTop w:val="0"/>
                  <w:marBottom w:val="0"/>
                  <w:divBdr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none" w:sz="0" w:space="0" w:color="auto"/>
                  </w:divBdr>
                  <w:divsChild>
                    <w:div w:id="30783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83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106</Words>
  <Characters>610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USER-</cp:lastModifiedBy>
  <cp:revision>7</cp:revision>
  <dcterms:created xsi:type="dcterms:W3CDTF">2016-09-29T08:53:00Z</dcterms:created>
  <dcterms:modified xsi:type="dcterms:W3CDTF">2016-10-12T06:11:00Z</dcterms:modified>
</cp:coreProperties>
</file>