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2C" w:rsidRDefault="00DB392C">
      <w:pPr>
        <w:rPr>
          <w:rFonts w:ascii="仿宋" w:eastAsia="仿宋" w:hAnsi="仿宋"/>
          <w:sz w:val="24"/>
          <w:szCs w:val="24"/>
        </w:rPr>
      </w:pPr>
    </w:p>
    <w:p w:rsidR="00DB392C" w:rsidRDefault="00514268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</w:t>
      </w:r>
      <w:r w:rsidR="00481CF3">
        <w:rPr>
          <w:rFonts w:ascii="华文中宋" w:eastAsia="华文中宋" w:hAnsi="华文中宋"/>
          <w:sz w:val="32"/>
          <w:szCs w:val="32"/>
        </w:rPr>
        <w:t>5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年招收攻读博士学位研究生(普通招考方式)</w:t>
      </w:r>
    </w:p>
    <w:p w:rsidR="00DB392C" w:rsidRDefault="00514268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DB392C" w:rsidRDefault="00DB392C">
      <w:pPr>
        <w:rPr>
          <w:rFonts w:ascii="仿宋" w:eastAsia="仿宋" w:hAnsi="仿宋"/>
          <w:sz w:val="28"/>
          <w:szCs w:val="28"/>
        </w:rPr>
      </w:pPr>
    </w:p>
    <w:p w:rsidR="00DB392C" w:rsidRDefault="0051426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科目代码： </w:t>
      </w:r>
      <w:r>
        <w:rPr>
          <w:rFonts w:ascii="仿宋" w:eastAsia="仿宋" w:hAnsi="仿宋"/>
          <w:sz w:val="28"/>
          <w:szCs w:val="28"/>
        </w:rPr>
        <w:t>3043</w:t>
      </w:r>
    </w:p>
    <w:p w:rsidR="00DB392C" w:rsidRDefault="0051426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 分析化学前沿领域</w:t>
      </w:r>
    </w:p>
    <w:p w:rsidR="00DB392C" w:rsidRDefault="0051426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:rsidR="00DB392C" w:rsidRDefault="00514268">
      <w:pPr>
        <w:widowControl/>
        <w:spacing w:line="360" w:lineRule="auto"/>
        <w:jc w:val="left"/>
        <w:outlineLvl w:val="1"/>
        <w:rPr>
          <w:rStyle w:val="1Char"/>
          <w:rFonts w:ascii="宋体" w:eastAsia="宋体" w:hAnsi="宋体" w:cs="宋体"/>
          <w:sz w:val="24"/>
          <w:szCs w:val="24"/>
        </w:rPr>
      </w:pPr>
      <w:r>
        <w:rPr>
          <w:rStyle w:val="2Char"/>
          <w:rFonts w:ascii="宋体" w:eastAsia="宋体" w:hAnsi="宋体" w:cs="宋体" w:hint="eastAsia"/>
          <w:szCs w:val="24"/>
        </w:rPr>
        <w:t>1.  分析化学已发展到分析科学阶段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§1.1  分析化学研究什么特殊矛盾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§1.2  分析化学三要素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§1.3  分析化学的发展规律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§1.4  分析化学已经发展到分析科学阶段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2.  21世纪分析化学展望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§2.1  分析化学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§2.2  仪器分析和分析科学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§2.3  现代分析化学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§2.4  21世纪社会和科技发展都需要分析化学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§2.5  21世纪分析化学展望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3.  分析化学的信息与化学计量学的发展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§3.1  科学技术发展的信息化趋势：分析化学与化学计量学的关系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§3.2  采样、试验设计与优化——获取化学信息的起点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§3.3  化学量测数据的校正与分辨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§3.4  化学计量学方法的稳健化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§3.5  人工神经网络等用于非线性校正、化学模式识别及构效关系等研究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§3.6  化学计量学教学及其它</w:t>
      </w:r>
    </w:p>
    <w:p w:rsidR="00DB392C" w:rsidRDefault="00514268">
      <w:pPr>
        <w:widowControl/>
        <w:spacing w:line="360" w:lineRule="auto"/>
        <w:jc w:val="left"/>
        <w:outlineLvl w:val="1"/>
        <w:rPr>
          <w:rStyle w:val="1Char"/>
          <w:rFonts w:ascii="宋体" w:eastAsia="宋体" w:hAnsi="宋体" w:cs="宋体"/>
          <w:sz w:val="24"/>
          <w:szCs w:val="24"/>
        </w:rPr>
      </w:pPr>
      <w:r>
        <w:rPr>
          <w:rStyle w:val="2Char"/>
          <w:rFonts w:ascii="宋体" w:eastAsia="宋体" w:hAnsi="宋体" w:cs="宋体" w:hint="eastAsia"/>
          <w:szCs w:val="24"/>
        </w:rPr>
        <w:t>4.  展望21世纪的分析科学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§4.1  总目标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§4.2  灵敏度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lastRenderedPageBreak/>
        <w:t xml:space="preserve">    §4.3  检测原理、技术及分析仪器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5.  原子光谱分析法的最新进展和发展趋势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§5.1  辐射源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§5.2  激发光源、原子化器和离子化源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§5.3  波长选择系统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§5.4  检测系统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§5.5  质量分析器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§5.6  样品引入系统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§5.7  原子光谱法的发展趋势</w:t>
      </w:r>
    </w:p>
    <w:p w:rsidR="00DB392C" w:rsidRDefault="00514268">
      <w:pPr>
        <w:widowControl/>
        <w:spacing w:line="360" w:lineRule="auto"/>
        <w:jc w:val="left"/>
        <w:outlineLvl w:val="1"/>
        <w:rPr>
          <w:rStyle w:val="1Char"/>
          <w:rFonts w:ascii="宋体" w:eastAsia="宋体" w:hAnsi="宋体" w:cs="宋体"/>
          <w:sz w:val="24"/>
          <w:szCs w:val="24"/>
        </w:rPr>
      </w:pPr>
      <w:r>
        <w:rPr>
          <w:rStyle w:val="2Char"/>
          <w:rFonts w:ascii="宋体" w:eastAsia="宋体" w:hAnsi="宋体" w:cs="宋体" w:hint="eastAsia"/>
          <w:szCs w:val="24"/>
        </w:rPr>
        <w:t xml:space="preserve">6.  近代电分析化学的发展 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§6.1  电分析化学方法的进展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§6.2  交叉学科联用技术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§6.3  在生命科学中的研究与应用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7.  面临新世纪的流动分析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§7.1  作为高效引入及处理手段的流动分析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§7.2  作为联用界面(接口)的流动分析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§7.3  流动分析的微型化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§7.4  可更新反应表面的流动分析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§7.5  过程监测流动分析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§7.6  流动分析教学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8.  激光分析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§8.1  激光拉曼光谱分析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§8.2  激光诱导荧光光谱分析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§8.3  激光光声光谱分析和激光光热光谱分析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§8.4  激光电离光谱分析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§8.5  其它激光分析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9.  现代近红外光谱分析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§9.1  近红外光谱分析的发展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§9.2  近红外光谱的产生、测定原理及特点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lastRenderedPageBreak/>
        <w:t xml:space="preserve">    §9.3  近红外光谱仪器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§9.4  近红外光谱定性、定理方法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§9.5  现代近红外光谱分析的应用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10.  紫外-可见分光光度分析的现状和展望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§10.1  试剂和反应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§10.2  分析和分离技术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§10.3  信号及数据处理技术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§10.4  光度分析装置和仪器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11. 毛细管电泳展望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§11.1  毛细管电泳的兴起与发展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§11.2  毛细管电泳基本原理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§11.3  毛细管电泳分离模式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§11.4  毛细管电泳柱技术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§11.5  毛细管电泳检测技术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§11.6  毛细管电泳的一些发展动向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§11.7  21世纪毛细管电泳发展趋势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12.  生物质谱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§12.</w:t>
      </w:r>
      <w:r>
        <w:rPr>
          <w:rStyle w:val="1Char"/>
          <w:rFonts w:ascii="宋体" w:eastAsia="宋体" w:hAnsi="宋体" w:cs="宋体"/>
          <w:sz w:val="24"/>
          <w:szCs w:val="24"/>
        </w:rPr>
        <w:t>1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多肽和蛋白质质谱分析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§12.</w:t>
      </w:r>
      <w:r>
        <w:rPr>
          <w:rStyle w:val="1Char"/>
          <w:rFonts w:ascii="宋体" w:eastAsia="宋体" w:hAnsi="宋体" w:cs="宋体"/>
          <w:sz w:val="24"/>
          <w:szCs w:val="24"/>
        </w:rPr>
        <w:t>2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Style w:val="1Char"/>
          <w:rFonts w:ascii="宋体" w:eastAsia="宋体" w:hAnsi="宋体" w:cs="宋体"/>
          <w:sz w:val="24"/>
          <w:szCs w:val="24"/>
        </w:rPr>
        <w:t xml:space="preserve">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核酸质谱分析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§12.</w:t>
      </w:r>
      <w:r>
        <w:rPr>
          <w:rStyle w:val="1Char"/>
          <w:rFonts w:ascii="宋体" w:eastAsia="宋体" w:hAnsi="宋体" w:cs="宋体"/>
          <w:sz w:val="24"/>
          <w:szCs w:val="24"/>
        </w:rPr>
        <w:t>3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糖类质谱分析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13.  复杂样品的分离分析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§13.1  复杂样品分析的基本思路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§13.2  复杂样品组成的多模式多柱色谱及联用技术的综合分离分析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§13.3  复杂样品分析的理论基础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§13.4  在中药一控制中的应用</w:t>
      </w:r>
    </w:p>
    <w:p w:rsidR="00DB392C" w:rsidRDefault="00514268">
      <w:pPr>
        <w:widowControl/>
        <w:spacing w:line="360" w:lineRule="auto"/>
        <w:jc w:val="left"/>
        <w:outlineLvl w:val="1"/>
        <w:rPr>
          <w:rStyle w:val="1Char"/>
          <w:rFonts w:ascii="宋体" w:eastAsia="宋体" w:hAnsi="宋体" w:cs="宋体"/>
          <w:sz w:val="24"/>
          <w:szCs w:val="24"/>
        </w:rPr>
      </w:pPr>
      <w:r>
        <w:rPr>
          <w:rStyle w:val="2Char"/>
          <w:rFonts w:ascii="宋体" w:eastAsia="宋体" w:hAnsi="宋体" w:cs="宋体" w:hint="eastAsia"/>
          <w:szCs w:val="24"/>
        </w:rPr>
        <w:t>14.  人类基因组和脱氧核糖核酸序列分析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§14.</w:t>
      </w:r>
      <w:r>
        <w:rPr>
          <w:rStyle w:val="1Char"/>
          <w:rFonts w:ascii="宋体" w:eastAsia="宋体" w:hAnsi="宋体" w:cs="宋体"/>
          <w:sz w:val="24"/>
          <w:szCs w:val="24"/>
        </w:rPr>
        <w:t>1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人类基</w:t>
      </w:r>
      <w:bookmarkStart w:id="0" w:name="_GoBack"/>
      <w:bookmarkEnd w:id="0"/>
      <w:r>
        <w:rPr>
          <w:rStyle w:val="1Char"/>
          <w:rFonts w:ascii="宋体" w:eastAsia="宋体" w:hAnsi="宋体" w:cs="宋体" w:hint="eastAsia"/>
          <w:sz w:val="24"/>
          <w:szCs w:val="24"/>
        </w:rPr>
        <w:t>因组研究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§14.</w:t>
      </w:r>
      <w:r>
        <w:rPr>
          <w:rStyle w:val="1Char"/>
          <w:rFonts w:ascii="宋体" w:eastAsia="宋体" w:hAnsi="宋体" w:cs="宋体"/>
          <w:sz w:val="24"/>
          <w:szCs w:val="24"/>
        </w:rPr>
        <w:t>2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人类基因组研究对DNA测序要求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§14.</w:t>
      </w:r>
      <w:r>
        <w:rPr>
          <w:rStyle w:val="1Char"/>
          <w:rFonts w:ascii="宋体" w:eastAsia="宋体" w:hAnsi="宋体" w:cs="宋体"/>
          <w:sz w:val="24"/>
          <w:szCs w:val="24"/>
        </w:rPr>
        <w:t>3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DNA序列分析进展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lastRenderedPageBreak/>
        <w:t xml:space="preserve">    §14.</w:t>
      </w:r>
      <w:r>
        <w:rPr>
          <w:rStyle w:val="1Char"/>
          <w:rFonts w:ascii="宋体" w:eastAsia="宋体" w:hAnsi="宋体" w:cs="宋体"/>
          <w:sz w:val="24"/>
          <w:szCs w:val="24"/>
        </w:rPr>
        <w:t>4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医学应用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15.  生命科学与电分析化学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§15.1  卟啉、金属卟啉的电化学分析研究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§15.2  生物自组装膜的模拟和电化学行为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§15.3  酶催化功能和微金属元素的作用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16.  超分子电分析化学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§16.1  超分子化学的基本性质</w:t>
      </w:r>
    </w:p>
    <w:p w:rsidR="00DB392C" w:rsidRDefault="00514268">
      <w:pPr>
        <w:widowControl/>
        <w:spacing w:line="360" w:lineRule="auto"/>
        <w:jc w:val="left"/>
        <w:outlineLvl w:val="1"/>
        <w:rPr>
          <w:rFonts w:ascii="宋体" w:eastAsia="宋体" w:hAnsi="宋体" w:cs="宋体"/>
          <w:sz w:val="24"/>
          <w:szCs w:val="24"/>
        </w:rPr>
      </w:pP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§16.2  超分子分析化学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§16.3  超分子电分析化学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17.  细胞生物电化学分析研究进展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§17.1  细胞电化学分析基本原理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§17.2  细胞与染料分子之间的能量传递及其在生化分析中的应用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§17.3  细胞介电行为及其在生化分析中的应用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§17.4  细胞电化学阻抗行为及其在生化分析中的应用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§17.5  细胞电化学氧化行为及其在生化分析中的应用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§17.6  细胞光电化学行为及其在生化分析中的应用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§17.7  电磁场作用下的细胞生物、生理行为分析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18.  生物传感器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§18.1  生物传感器研究动态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§18.2  生物传感器原理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§18.3  生物传感器分类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§18.4  结语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19.  光导纤维生物传感器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§19.1  光导纤维生物传感器的结构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§19.2  光导纤维生物传感器的分类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20.  压电化学与生物传感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§20.1  传感原理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§20.2  血液流变学压电传感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§20.3  嗅敏与其它仿生传感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lastRenderedPageBreak/>
        <w:t xml:space="preserve">    §20.4  酶、免疫与其它生物传感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§20.5  压电传感器用于物理化学过程研究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§20.6  压电液相化学分析技术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§20.7  发展展望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21.  生物传感器在军事医学中的发展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§21.1  生物传感器的原理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§21.2  酶传感器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§21.3  抗体和受体传感器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§21.4  基因传感器与基因芯片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22.  小分子发光免疫分析及其进展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§22.1  抗原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§22.2  抗体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§22.3  抗原-抗体反应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§22.4  非标记免疫分析和标记免疫分析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§22.5  免疫分析的热点和趋势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23.  生物分析化学中新试剂的进展与展望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§23.1  大环化合物超分子分析试剂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§23.2  非大环的试剂的探针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§23.3  酶法分析试剂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§23.4  免疫分析试剂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§23.5  其它试剂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24.  药物分析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§24.1  药典与分析方法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§24.2  新药研究与开发中的药物分析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§24.3  药物分析方法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§24.4  药物代谢研究中的分析工作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§24.5  手性药物的分离分析方法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25.  环境分析化学发展趋势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§25.1  环境分析样品前处理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lastRenderedPageBreak/>
        <w:t xml:space="preserve">    §25.2  各种色谱技术的进展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§25.3  光谱、质谱和其它方面的进展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§25.4  联用技术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§25.5  与生物学科的结合促进环境分析化学的发展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§25.6  计算机的推广应用促进环境分析化学发展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§25.7  环境分析化学的质量保证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26. 熔融金属成分直接分析现状及展望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§26.1  浸入(熔体)式探头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§26.2  熔体直接激发光谱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§26.3  试样引出-等离子体光谱法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27.  环糊精及其衍生物作为分析增效试剂的发展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§27.1  理论研究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§27.2  衍生物的制备及问题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§27.3  用于分析的增效试剂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§27.4  两大热点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§27.5  用于CE的环糊精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§27.6  对映体分离原理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§27.7  CE的模式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</w:p>
    <w:p w:rsidR="00DB392C" w:rsidRDefault="00DB392C">
      <w:pPr>
        <w:rPr>
          <w:rFonts w:ascii="仿宋" w:eastAsia="仿宋" w:hAnsi="仿宋"/>
          <w:sz w:val="28"/>
          <w:szCs w:val="28"/>
        </w:rPr>
      </w:pPr>
    </w:p>
    <w:sectPr w:rsidR="00DB392C" w:rsidSect="00DB39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dlNTliZTE4ZWExZTc2YjIxYjJiOWQ2MTgxMWNjZWYifQ=="/>
  </w:docVars>
  <w:rsids>
    <w:rsidRoot w:val="00110BC3"/>
    <w:rsid w:val="00002794"/>
    <w:rsid w:val="000556E8"/>
    <w:rsid w:val="000A3030"/>
    <w:rsid w:val="00110BC3"/>
    <w:rsid w:val="001B25C3"/>
    <w:rsid w:val="002B3F51"/>
    <w:rsid w:val="00327097"/>
    <w:rsid w:val="00340A29"/>
    <w:rsid w:val="0037208B"/>
    <w:rsid w:val="003C11B4"/>
    <w:rsid w:val="003F18C2"/>
    <w:rsid w:val="00481CF3"/>
    <w:rsid w:val="00493EBC"/>
    <w:rsid w:val="00514268"/>
    <w:rsid w:val="00540EBF"/>
    <w:rsid w:val="00581169"/>
    <w:rsid w:val="005A17F1"/>
    <w:rsid w:val="005D54AA"/>
    <w:rsid w:val="00614DD4"/>
    <w:rsid w:val="00735ADE"/>
    <w:rsid w:val="008B16D2"/>
    <w:rsid w:val="0094308B"/>
    <w:rsid w:val="009E34F0"/>
    <w:rsid w:val="009F51B1"/>
    <w:rsid w:val="00AE4C4F"/>
    <w:rsid w:val="00BC7128"/>
    <w:rsid w:val="00C61048"/>
    <w:rsid w:val="00DB392C"/>
    <w:rsid w:val="00DB5531"/>
    <w:rsid w:val="00DF1D30"/>
    <w:rsid w:val="00F431FE"/>
    <w:rsid w:val="00F56B21"/>
    <w:rsid w:val="00F82C70"/>
    <w:rsid w:val="0AF26F94"/>
    <w:rsid w:val="0D0F124C"/>
    <w:rsid w:val="0F377374"/>
    <w:rsid w:val="181C088E"/>
    <w:rsid w:val="1B9973FE"/>
    <w:rsid w:val="292B4769"/>
    <w:rsid w:val="3A6F0BDF"/>
    <w:rsid w:val="3B614BDD"/>
    <w:rsid w:val="45DA1BA0"/>
    <w:rsid w:val="550E5DD5"/>
    <w:rsid w:val="74E21DD7"/>
    <w:rsid w:val="7828351F"/>
    <w:rsid w:val="7A443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able of authorities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92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qFormat/>
    <w:rsid w:val="00DB392C"/>
    <w:pPr>
      <w:ind w:leftChars="200" w:left="420"/>
    </w:pPr>
  </w:style>
  <w:style w:type="paragraph" w:styleId="a4">
    <w:name w:val="footer"/>
    <w:basedOn w:val="a"/>
    <w:link w:val="Char"/>
    <w:uiPriority w:val="99"/>
    <w:unhideWhenUsed/>
    <w:qFormat/>
    <w:rsid w:val="00DB39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DB39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DB392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qFormat/>
    <w:rsid w:val="00DB392C"/>
    <w:rPr>
      <w:b/>
      <w:bCs/>
    </w:rPr>
  </w:style>
  <w:style w:type="character" w:customStyle="1" w:styleId="Char0">
    <w:name w:val="页眉 Char"/>
    <w:basedOn w:val="a0"/>
    <w:link w:val="a5"/>
    <w:uiPriority w:val="99"/>
    <w:qFormat/>
    <w:rsid w:val="00DB392C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DB392C"/>
    <w:rPr>
      <w:sz w:val="18"/>
      <w:szCs w:val="18"/>
    </w:rPr>
  </w:style>
  <w:style w:type="paragraph" w:styleId="a8">
    <w:name w:val="List Paragraph"/>
    <w:basedOn w:val="a"/>
    <w:uiPriority w:val="34"/>
    <w:qFormat/>
    <w:rsid w:val="00DB392C"/>
    <w:pPr>
      <w:ind w:firstLineChars="200" w:firstLine="420"/>
    </w:pPr>
  </w:style>
  <w:style w:type="character" w:customStyle="1" w:styleId="2Char">
    <w:name w:val="样式2 Char"/>
    <w:link w:val="2"/>
    <w:qFormat/>
    <w:rsid w:val="00DB392C"/>
    <w:rPr>
      <w:b/>
      <w:sz w:val="24"/>
    </w:rPr>
  </w:style>
  <w:style w:type="paragraph" w:customStyle="1" w:styleId="2">
    <w:name w:val="样式2"/>
    <w:basedOn w:val="a3"/>
    <w:link w:val="2Char"/>
    <w:qFormat/>
    <w:rsid w:val="00DB392C"/>
    <w:rPr>
      <w:b/>
      <w:sz w:val="24"/>
    </w:rPr>
  </w:style>
  <w:style w:type="character" w:customStyle="1" w:styleId="1Char">
    <w:name w:val="样式1 Char"/>
    <w:link w:val="1"/>
    <w:qFormat/>
    <w:rsid w:val="00DB392C"/>
  </w:style>
  <w:style w:type="paragraph" w:customStyle="1" w:styleId="1">
    <w:name w:val="样式1"/>
    <w:basedOn w:val="a3"/>
    <w:link w:val="1Char"/>
    <w:qFormat/>
    <w:rsid w:val="00DB392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F3F04-E21A-4FED-9EFC-34F7CF073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495</Words>
  <Characters>2825</Characters>
  <Application>Microsoft Office Word</Application>
  <DocSecurity>0</DocSecurity>
  <Lines>23</Lines>
  <Paragraphs>6</Paragraphs>
  <ScaleCrop>false</ScaleCrop>
  <Company>Microsoft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31</cp:revision>
  <cp:lastPrinted>2020-11-16T06:20:00Z</cp:lastPrinted>
  <dcterms:created xsi:type="dcterms:W3CDTF">2020-10-19T09:11:00Z</dcterms:created>
  <dcterms:modified xsi:type="dcterms:W3CDTF">2024-11-29T07:44:00Z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0EB394E635E14D6FB8C273038D022F0C</vt:lpwstr>
  </property>
</Properties>
</file>